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D812" w14:textId="0820738E" w:rsidR="4F8AF277" w:rsidRPr="00635F27" w:rsidRDefault="4F8AF277" w:rsidP="00605CE8">
      <w:pPr>
        <w:spacing w:after="0" w:line="278" w:lineRule="auto"/>
        <w:rPr>
          <w:b/>
          <w:bCs/>
        </w:rPr>
      </w:pPr>
      <w:r w:rsidRPr="00635F27">
        <w:rPr>
          <w:b/>
          <w:bCs/>
        </w:rPr>
        <w:t>General</w:t>
      </w:r>
      <w:r w:rsidR="6E2118CE" w:rsidRPr="00635F27">
        <w:rPr>
          <w:b/>
          <w:bCs/>
        </w:rPr>
        <w:t xml:space="preserve"> Contract Administration</w:t>
      </w:r>
      <w:r w:rsidRPr="00635F27">
        <w:rPr>
          <w:b/>
          <w:bCs/>
        </w:rPr>
        <w:t xml:space="preserve"> </w:t>
      </w:r>
      <w:r w:rsidR="649E86CF" w:rsidRPr="00635F27">
        <w:rPr>
          <w:b/>
          <w:bCs/>
        </w:rPr>
        <w:t>Requirements:</w:t>
      </w:r>
    </w:p>
    <w:p w14:paraId="74DBF8B4" w14:textId="36F92AB7" w:rsidR="0F6BA56F" w:rsidRDefault="0F6BA56F" w:rsidP="00605CE8">
      <w:pPr>
        <w:pStyle w:val="ListParagraph"/>
        <w:numPr>
          <w:ilvl w:val="0"/>
          <w:numId w:val="4"/>
        </w:numPr>
        <w:spacing w:after="0" w:line="278" w:lineRule="auto"/>
      </w:pPr>
      <w:r>
        <w:t xml:space="preserve">My site is privately owned – am I still required to meet </w:t>
      </w:r>
      <w:r w:rsidR="5DA72A93">
        <w:t>federal highway construction contracting requirements (i.e., prevailing wage)</w:t>
      </w:r>
      <w:r w:rsidR="00886042">
        <w:t>?</w:t>
      </w:r>
    </w:p>
    <w:p w14:paraId="0B1BA0BC" w14:textId="2DF25262" w:rsidR="004F3915" w:rsidRDefault="004F3915" w:rsidP="00490278">
      <w:pPr>
        <w:pStyle w:val="ListParagraph"/>
        <w:numPr>
          <w:ilvl w:val="1"/>
          <w:numId w:val="4"/>
        </w:numPr>
        <w:spacing w:after="0" w:line="278" w:lineRule="auto"/>
        <w:ind w:left="1350" w:hanging="270"/>
      </w:pPr>
      <w:r>
        <w:t xml:space="preserve">Yes. Projects will be required to meet </w:t>
      </w:r>
      <w:r w:rsidR="00C732B9" w:rsidRPr="00347874">
        <w:rPr>
          <w:i/>
          <w:iCs/>
        </w:rPr>
        <w:t>all</w:t>
      </w:r>
      <w:r w:rsidR="00C732B9">
        <w:t xml:space="preserve"> Title 23 construction requirements </w:t>
      </w:r>
      <w:r w:rsidR="00D01B14">
        <w:t xml:space="preserve">(Ch. 1 of Title 23 USC and 2 CFR Part 200) </w:t>
      </w:r>
      <w:r w:rsidR="00C732B9">
        <w:t>including 23 USC 113 (prevailing wage)</w:t>
      </w:r>
      <w:r w:rsidR="00490278">
        <w:t xml:space="preserve"> and</w:t>
      </w:r>
      <w:r w:rsidR="00C01D33">
        <w:t xml:space="preserve"> Title VI </w:t>
      </w:r>
      <w:r w:rsidR="004C0EAC">
        <w:t>of the Civil Rights Act of 1964</w:t>
      </w:r>
      <w:r w:rsidR="00490278">
        <w:t>.</w:t>
      </w:r>
    </w:p>
    <w:p w14:paraId="5FB5CA50" w14:textId="41F805F7" w:rsidR="21623F41" w:rsidRDefault="21623F41" w:rsidP="00605CE8">
      <w:pPr>
        <w:pStyle w:val="ListParagraph"/>
        <w:numPr>
          <w:ilvl w:val="0"/>
          <w:numId w:val="4"/>
        </w:numPr>
        <w:spacing w:after="0" w:line="278" w:lineRule="auto"/>
      </w:pPr>
      <w:r>
        <w:t>Are project sites required to meet American with Disabilities Act (ADA) requirements?</w:t>
      </w:r>
    </w:p>
    <w:p w14:paraId="284259C8" w14:textId="20A1F97B" w:rsidR="00D01B14" w:rsidRDefault="00D01B14" w:rsidP="00605CE8">
      <w:pPr>
        <w:pStyle w:val="ListParagraph"/>
        <w:numPr>
          <w:ilvl w:val="1"/>
          <w:numId w:val="4"/>
        </w:numPr>
        <w:spacing w:after="0" w:line="278" w:lineRule="auto"/>
      </w:pPr>
      <w:r>
        <w:t>Yes</w:t>
      </w:r>
      <w:r w:rsidR="004F6382">
        <w:t>, EV charging stations and si</w:t>
      </w:r>
      <w:r w:rsidR="00763E6D">
        <w:t>tes must comply with ADA and Section 504 requirements so that all infrastructure can be accessible to and usable by individuals with disabilities.</w:t>
      </w:r>
    </w:p>
    <w:p w14:paraId="0175E33A" w14:textId="5D7C2E33" w:rsidR="21623F41" w:rsidRDefault="21623F41" w:rsidP="00605CE8">
      <w:pPr>
        <w:pStyle w:val="ListParagraph"/>
        <w:numPr>
          <w:ilvl w:val="0"/>
          <w:numId w:val="4"/>
        </w:numPr>
        <w:spacing w:after="0" w:line="278" w:lineRule="auto"/>
      </w:pPr>
      <w:r>
        <w:t xml:space="preserve">Are projects required to meet </w:t>
      </w:r>
      <w:r w:rsidR="1C38199D">
        <w:t xml:space="preserve">Build America, </w:t>
      </w:r>
      <w:r>
        <w:t>Buy America requirements?</w:t>
      </w:r>
    </w:p>
    <w:p w14:paraId="07B558E4" w14:textId="6D54B248" w:rsidR="00B17759" w:rsidRDefault="00B17759" w:rsidP="00605CE8">
      <w:pPr>
        <w:pStyle w:val="ListParagraph"/>
        <w:numPr>
          <w:ilvl w:val="1"/>
          <w:numId w:val="4"/>
        </w:numPr>
        <w:spacing w:after="0" w:line="278" w:lineRule="auto"/>
      </w:pPr>
      <w:r>
        <w:t>Yes</w:t>
      </w:r>
      <w:r w:rsidR="00D323C5">
        <w:t xml:space="preserve">, per </w:t>
      </w:r>
      <w:r w:rsidR="00644C40">
        <w:t xml:space="preserve">the </w:t>
      </w:r>
      <w:hyperlink r:id="rId10" w:history="1">
        <w:r w:rsidR="00644C40" w:rsidRPr="00EB334A">
          <w:rPr>
            <w:rStyle w:val="Hyperlink"/>
          </w:rPr>
          <w:t>Waiver of Buy America Requirements for Electric Vehicle Chargers</w:t>
        </w:r>
      </w:hyperlink>
      <w:r w:rsidR="00EB334A">
        <w:t xml:space="preserve"> </w:t>
      </w:r>
      <w:r w:rsidR="00097CB2">
        <w:t>published by the Federal Highway Administration</w:t>
      </w:r>
      <w:r w:rsidR="003C15B8">
        <w:t xml:space="preserve">, </w:t>
      </w:r>
      <w:r w:rsidR="00635F27">
        <w:t>EV charging equipment is subject to Build America, Buy America requirements.</w:t>
      </w:r>
    </w:p>
    <w:p w14:paraId="1D77F83E" w14:textId="77777777" w:rsidR="007D7533" w:rsidRPr="004E029F" w:rsidRDefault="007D7533" w:rsidP="00605CE8">
      <w:pPr>
        <w:spacing w:after="0" w:line="278" w:lineRule="auto"/>
        <w:rPr>
          <w:b/>
          <w:bCs/>
        </w:rPr>
      </w:pPr>
      <w:r w:rsidRPr="004E029F">
        <w:rPr>
          <w:b/>
          <w:bCs/>
        </w:rPr>
        <w:t>Eligible Project Funds:</w:t>
      </w:r>
    </w:p>
    <w:p w14:paraId="1E7B1EFE" w14:textId="77777777" w:rsidR="007D7533" w:rsidRDefault="007D7533" w:rsidP="00605CE8">
      <w:pPr>
        <w:pStyle w:val="ListParagraph"/>
        <w:numPr>
          <w:ilvl w:val="0"/>
          <w:numId w:val="2"/>
        </w:numPr>
        <w:spacing w:after="0" w:line="278" w:lineRule="auto"/>
      </w:pPr>
      <w:r>
        <w:t>Can I use project funds to cover any necessary electrical equipment and upgrades (e.g., transformers, switchgears, etc.)?</w:t>
      </w:r>
    </w:p>
    <w:p w14:paraId="75292C20" w14:textId="67C9A265" w:rsidR="00333C97" w:rsidRDefault="007D7533" w:rsidP="00605CE8">
      <w:pPr>
        <w:pStyle w:val="ListParagraph"/>
        <w:numPr>
          <w:ilvl w:val="1"/>
          <w:numId w:val="2"/>
        </w:numPr>
        <w:spacing w:after="0" w:line="278" w:lineRule="auto"/>
      </w:pPr>
      <w:r w:rsidRPr="00BF0A8D">
        <w:t>Yes. Costs to acquire and install on-site electric service equipment (e.g., power meter, transformer, switch gear</w:t>
      </w:r>
      <w:r>
        <w:t>s)</w:t>
      </w:r>
      <w:r w:rsidRPr="00BF0A8D">
        <w:t xml:space="preserve"> are eligible.</w:t>
      </w:r>
      <w:r>
        <w:t xml:space="preserve"> Minor grid upgrades, defined as </w:t>
      </w:r>
      <w:r w:rsidRPr="00C07EAB">
        <w:rPr>
          <w:i/>
          <w:iCs/>
        </w:rPr>
        <w:t>“the work necessary to connect a charging station to the electric grid distribution network”</w:t>
      </w:r>
      <w:r w:rsidR="005E5CF1">
        <w:rPr>
          <w:i/>
          <w:iCs/>
        </w:rPr>
        <w:t xml:space="preserve"> </w:t>
      </w:r>
      <w:r w:rsidR="005E5CF1" w:rsidRPr="005E5CF1">
        <w:t>are also covered</w:t>
      </w:r>
      <w:r>
        <w:t>. It’s recommended that applicants explore whether these costs can be covered (either partially or entirely) by electrical utilities.</w:t>
      </w:r>
    </w:p>
    <w:p w14:paraId="2C8030EB" w14:textId="6CC1CAD4" w:rsidR="34AF0F51" w:rsidRPr="004E029F" w:rsidRDefault="4F8AF277" w:rsidP="00605CE8">
      <w:pPr>
        <w:spacing w:after="0" w:line="278" w:lineRule="auto"/>
        <w:rPr>
          <w:b/>
          <w:bCs/>
        </w:rPr>
      </w:pPr>
      <w:r w:rsidRPr="004E029F">
        <w:rPr>
          <w:b/>
          <w:bCs/>
        </w:rPr>
        <w:t>Technical Requirements:</w:t>
      </w:r>
    </w:p>
    <w:p w14:paraId="519E5C90" w14:textId="4C96D6ED" w:rsidR="2000D215" w:rsidRDefault="2000D215" w:rsidP="00605CE8">
      <w:pPr>
        <w:pStyle w:val="ListParagraph"/>
        <w:numPr>
          <w:ilvl w:val="0"/>
          <w:numId w:val="3"/>
        </w:numPr>
        <w:spacing w:after="0" w:line="278" w:lineRule="auto"/>
      </w:pPr>
      <w:r>
        <w:t>How many charging stations are required? Do I need to install Level 3 (DC Fast) charging stations or can I install Level 2 charging stations</w:t>
      </w:r>
      <w:r w:rsidR="00071DC5">
        <w:t>?</w:t>
      </w:r>
    </w:p>
    <w:p w14:paraId="2D5A5374" w14:textId="4A32E700" w:rsidR="00553B9A" w:rsidRDefault="008C168F" w:rsidP="00605CE8">
      <w:pPr>
        <w:pStyle w:val="ListParagraph"/>
        <w:numPr>
          <w:ilvl w:val="1"/>
          <w:numId w:val="3"/>
        </w:numPr>
        <w:spacing w:after="0" w:line="278" w:lineRule="auto"/>
      </w:pPr>
      <w:r>
        <w:t>Projects are required to provide four (4) ports</w:t>
      </w:r>
      <w:r w:rsidR="00875CD7">
        <w:t xml:space="preserve"> – this can be achieved through installing four (4) single-port charging stations or </w:t>
      </w:r>
      <w:r w:rsidR="006218D8">
        <w:t>two (2) dual-port charging stations</w:t>
      </w:r>
      <w:r w:rsidR="00F8630A">
        <w:t xml:space="preserve">. </w:t>
      </w:r>
      <w:r w:rsidR="003D6040">
        <w:t xml:space="preserve">As long as the project proposes four (4) total </w:t>
      </w:r>
      <w:r w:rsidR="00E63ADF">
        <w:t xml:space="preserve">charging </w:t>
      </w:r>
      <w:r w:rsidR="003D6040">
        <w:t>ports,</w:t>
      </w:r>
      <w:r w:rsidR="00E63ADF">
        <w:t xml:space="preserve"> the</w:t>
      </w:r>
      <w:r w:rsidR="00EE5E1E">
        <w:t>se ports can be L</w:t>
      </w:r>
      <w:r w:rsidR="00914585">
        <w:t xml:space="preserve">evel </w:t>
      </w:r>
      <w:r w:rsidR="00EE5E1E">
        <w:t>2, DC Fast, or a mix of both.</w:t>
      </w:r>
    </w:p>
    <w:p w14:paraId="348850E5" w14:textId="77777777" w:rsidR="009E054A" w:rsidRDefault="00553B9A" w:rsidP="00605CE8">
      <w:pPr>
        <w:pStyle w:val="ListParagraph"/>
        <w:numPr>
          <w:ilvl w:val="0"/>
          <w:numId w:val="3"/>
        </w:numPr>
        <w:spacing w:after="0" w:line="278" w:lineRule="auto"/>
      </w:pPr>
      <w:r>
        <w:t xml:space="preserve">What are the minimum </w:t>
      </w:r>
      <w:r w:rsidR="009E054A">
        <w:t>power requirements</w:t>
      </w:r>
      <w:r>
        <w:t xml:space="preserve"> I need to provide</w:t>
      </w:r>
      <w:r w:rsidR="009E054A">
        <w:t>?</w:t>
      </w:r>
    </w:p>
    <w:p w14:paraId="4FDD504D" w14:textId="7F5F883F" w:rsidR="00071DC5" w:rsidRDefault="00D454B2" w:rsidP="00605CE8">
      <w:pPr>
        <w:pStyle w:val="ListParagraph"/>
        <w:numPr>
          <w:ilvl w:val="1"/>
          <w:numId w:val="3"/>
        </w:numPr>
        <w:spacing w:after="0" w:line="278" w:lineRule="auto"/>
      </w:pPr>
      <w:r>
        <w:t>Level 2 ports must provide a speed of at least 6kW</w:t>
      </w:r>
      <w:r w:rsidR="00AD69F5">
        <w:t>. While Title 23</w:t>
      </w:r>
      <w:r w:rsidR="00DD66BC">
        <w:t xml:space="preserve"> </w:t>
      </w:r>
      <w:r w:rsidR="00AD69F5">
        <w:t>states that</w:t>
      </w:r>
      <w:r w:rsidR="00DD66BC">
        <w:t xml:space="preserve"> DC Fast</w:t>
      </w:r>
      <w:r w:rsidR="00AD69F5">
        <w:t xml:space="preserve"> ports</w:t>
      </w:r>
      <w:r w:rsidR="00DD66BC">
        <w:t xml:space="preserve"> </w:t>
      </w:r>
      <w:r w:rsidR="00AD69F5">
        <w:rPr>
          <w:i/>
          <w:iCs/>
        </w:rPr>
        <w:t xml:space="preserve">along Alternative Fuel Corridors </w:t>
      </w:r>
      <w:r w:rsidR="00DD66BC">
        <w:t>must provide at least 150kW</w:t>
      </w:r>
      <w:r w:rsidR="00AD69F5">
        <w:t xml:space="preserve">, there isn’t a defined minimum for community </w:t>
      </w:r>
      <w:r w:rsidR="00B04C6A">
        <w:t xml:space="preserve">fast </w:t>
      </w:r>
      <w:r w:rsidR="00AD69F5">
        <w:t>charging; at least 50 kW is recommended</w:t>
      </w:r>
      <w:r w:rsidR="00DD66BC">
        <w:t xml:space="preserve">. </w:t>
      </w:r>
      <w:r w:rsidR="006948E4">
        <w:t>T</w:t>
      </w:r>
      <w:r w:rsidR="00E06788">
        <w:t>he identified minimum power requirement</w:t>
      </w:r>
      <w:r w:rsidR="00BE1F75">
        <w:t xml:space="preserve"> must be provided</w:t>
      </w:r>
      <w:r w:rsidR="00E06788">
        <w:t xml:space="preserve"> </w:t>
      </w:r>
      <w:r w:rsidR="006A1A27">
        <w:t xml:space="preserve">simultaneously across all ports. For example: if your project proposes </w:t>
      </w:r>
      <w:r w:rsidR="00DE47C7">
        <w:t xml:space="preserve">installing </w:t>
      </w:r>
      <w:r w:rsidR="00766652">
        <w:t>4 L</w:t>
      </w:r>
      <w:r w:rsidR="00BE1F75">
        <w:t xml:space="preserve">evel </w:t>
      </w:r>
      <w:r w:rsidR="00766652">
        <w:t>2 ports, all 4 ports must be capable of providing the full 6kW</w:t>
      </w:r>
      <w:r w:rsidR="004A0A53">
        <w:t xml:space="preserve"> simultaneously</w:t>
      </w:r>
      <w:r w:rsidR="00BE1F75">
        <w:t xml:space="preserve"> f</w:t>
      </w:r>
      <w:r w:rsidR="005B32E2">
        <w:t>or a site minimum of 24 kW</w:t>
      </w:r>
      <w:r w:rsidR="00BD7600">
        <w:t>.</w:t>
      </w:r>
      <w:r w:rsidR="00EE5E1E">
        <w:t xml:space="preserve"> </w:t>
      </w:r>
      <w:r w:rsidR="003D6040">
        <w:t xml:space="preserve"> </w:t>
      </w:r>
    </w:p>
    <w:p w14:paraId="0D626AA2" w14:textId="77777777" w:rsidR="00121146" w:rsidRDefault="00121146" w:rsidP="00121146">
      <w:pPr>
        <w:pStyle w:val="ListParagraph"/>
        <w:spacing w:after="0" w:line="278" w:lineRule="auto"/>
      </w:pPr>
    </w:p>
    <w:p w14:paraId="1AE4E016" w14:textId="0D65971A" w:rsidR="653A32E4" w:rsidRDefault="653A32E4" w:rsidP="00605CE8">
      <w:pPr>
        <w:pStyle w:val="ListParagraph"/>
        <w:numPr>
          <w:ilvl w:val="0"/>
          <w:numId w:val="3"/>
        </w:numPr>
        <w:spacing w:after="0" w:line="278" w:lineRule="auto"/>
      </w:pPr>
      <w:r>
        <w:t>What types of connectors do I need to provide? Do I need to provide</w:t>
      </w:r>
      <w:r w:rsidR="4184FFDD">
        <w:t xml:space="preserve"> North American Charging Standard</w:t>
      </w:r>
      <w:r>
        <w:t xml:space="preserve"> </w:t>
      </w:r>
      <w:r w:rsidR="55DB5EF2">
        <w:t>(</w:t>
      </w:r>
      <w:r>
        <w:t>NACS</w:t>
      </w:r>
      <w:r w:rsidR="68C1BF33">
        <w:t>)</w:t>
      </w:r>
      <w:r w:rsidR="3BF419CB">
        <w:t xml:space="preserve"> connectors?</w:t>
      </w:r>
    </w:p>
    <w:p w14:paraId="1B7F2BF2" w14:textId="743E6E73" w:rsidR="7D2CB364" w:rsidRDefault="0027061B" w:rsidP="00605CE8">
      <w:pPr>
        <w:pStyle w:val="ListParagraph"/>
        <w:numPr>
          <w:ilvl w:val="1"/>
          <w:numId w:val="3"/>
        </w:numPr>
        <w:spacing w:after="0" w:line="278" w:lineRule="auto"/>
      </w:pPr>
      <w:r>
        <w:t xml:space="preserve">Each Level 2 </w:t>
      </w:r>
      <w:r w:rsidR="00E72851">
        <w:t xml:space="preserve">port must have a </w:t>
      </w:r>
      <w:r w:rsidR="00C45227">
        <w:t xml:space="preserve">permanently attached </w:t>
      </w:r>
      <w:r w:rsidR="00E72851">
        <w:t>J1772 connector and each DC Fast</w:t>
      </w:r>
      <w:r w:rsidR="00D43432">
        <w:t xml:space="preserve"> port</w:t>
      </w:r>
      <w:r w:rsidR="00E72851">
        <w:t xml:space="preserve"> must have </w:t>
      </w:r>
      <w:r w:rsidR="00C45227">
        <w:t>at least one</w:t>
      </w:r>
      <w:r w:rsidR="008530F7">
        <w:t xml:space="preserve"> permanently attached CCS Type 1</w:t>
      </w:r>
      <w:r w:rsidR="00D43432">
        <w:t xml:space="preserve">. </w:t>
      </w:r>
      <w:r w:rsidR="004F66FC">
        <w:t xml:space="preserve">While </w:t>
      </w:r>
      <w:r w:rsidR="006542FF">
        <w:t>providing</w:t>
      </w:r>
      <w:r w:rsidR="00F25132">
        <w:t xml:space="preserve"> the</w:t>
      </w:r>
      <w:r w:rsidR="006542FF">
        <w:t xml:space="preserve"> NACS</w:t>
      </w:r>
      <w:r w:rsidR="00F25132">
        <w:t xml:space="preserve"> connector is</w:t>
      </w:r>
      <w:r w:rsidR="006542FF">
        <w:t xml:space="preserve"> </w:t>
      </w:r>
      <w:r w:rsidR="004F66FC">
        <w:t>not required, as long as</w:t>
      </w:r>
      <w:r w:rsidR="00F25132">
        <w:t xml:space="preserve"> th</w:t>
      </w:r>
      <w:r w:rsidR="00392C49">
        <w:t>e</w:t>
      </w:r>
      <w:r w:rsidR="00D91A79">
        <w:t xml:space="preserve"> J1772 and CCS Type 1</w:t>
      </w:r>
      <w:r w:rsidR="005630BA">
        <w:t xml:space="preserve"> </w:t>
      </w:r>
      <w:r w:rsidR="007A4DAB">
        <w:t>connector requirements are</w:t>
      </w:r>
      <w:r w:rsidR="00D91A79">
        <w:t xml:space="preserve"> met, </w:t>
      </w:r>
      <w:r w:rsidR="00086E98">
        <w:t>NACS connectors can be installed as well.</w:t>
      </w:r>
      <w:r w:rsidR="007A4DAB">
        <w:t xml:space="preserve"> </w:t>
      </w:r>
    </w:p>
    <w:p w14:paraId="54DA0B85" w14:textId="0056B24A" w:rsidR="00D86594" w:rsidRPr="002B6E63" w:rsidRDefault="00D86594" w:rsidP="00605CE8">
      <w:pPr>
        <w:spacing w:after="0" w:line="278" w:lineRule="auto"/>
        <w:rPr>
          <w:b/>
          <w:bCs/>
        </w:rPr>
      </w:pPr>
      <w:r w:rsidRPr="002B6E63">
        <w:rPr>
          <w:b/>
          <w:bCs/>
        </w:rPr>
        <w:t>Operation</w:t>
      </w:r>
      <w:r w:rsidR="002B6E63">
        <w:rPr>
          <w:b/>
          <w:bCs/>
        </w:rPr>
        <w:t>al</w:t>
      </w:r>
      <w:r w:rsidRPr="002B6E63">
        <w:rPr>
          <w:b/>
          <w:bCs/>
        </w:rPr>
        <w:t xml:space="preserve"> Requirements:</w:t>
      </w:r>
    </w:p>
    <w:p w14:paraId="24C6F326" w14:textId="393B1842" w:rsidR="00FE47F7" w:rsidRDefault="00981140" w:rsidP="00ED5874">
      <w:pPr>
        <w:pStyle w:val="ListParagraph"/>
        <w:numPr>
          <w:ilvl w:val="0"/>
          <w:numId w:val="5"/>
        </w:numPr>
        <w:spacing w:after="0" w:line="278" w:lineRule="auto"/>
      </w:pPr>
      <w:r>
        <w:t>Do the charging stations need to be available 24/7</w:t>
      </w:r>
      <w:r w:rsidR="003B7400">
        <w:t>?</w:t>
      </w:r>
    </w:p>
    <w:p w14:paraId="64F0D08A" w14:textId="54F63EF9" w:rsidR="00AF07E3" w:rsidRDefault="00770349" w:rsidP="00ED5874">
      <w:pPr>
        <w:pStyle w:val="ListParagraph"/>
        <w:numPr>
          <w:ilvl w:val="1"/>
          <w:numId w:val="5"/>
        </w:numPr>
        <w:spacing w:after="0" w:line="278" w:lineRule="auto"/>
      </w:pPr>
      <w:r>
        <w:t>Charging stations need to be physically accessible to the public</w:t>
      </w:r>
      <w:r w:rsidR="00D607CE">
        <w:t xml:space="preserve"> for </w:t>
      </w:r>
      <w:r w:rsidR="00D607CE" w:rsidRPr="00E0243A">
        <w:rPr>
          <w:i/>
          <w:iCs/>
        </w:rPr>
        <w:t>at least</w:t>
      </w:r>
      <w:r w:rsidR="00D607CE">
        <w:t xml:space="preserve"> </w:t>
      </w:r>
      <w:r w:rsidR="004B74EC">
        <w:t>the hours of operation for the site.</w:t>
      </w:r>
      <w:r w:rsidR="00CF7F96">
        <w:t xml:space="preserve"> To ensure reliability, it’s required that charging stations </w:t>
      </w:r>
      <w:r w:rsidR="00926999">
        <w:t xml:space="preserve">are up, working, and available </w:t>
      </w:r>
      <w:r w:rsidR="00926999" w:rsidRPr="00EA09BB">
        <w:rPr>
          <w:i/>
          <w:iCs/>
          <w:u w:val="single"/>
        </w:rPr>
        <w:t>at least 97%</w:t>
      </w:r>
      <w:r w:rsidR="00926999" w:rsidRPr="00EA09BB">
        <w:rPr>
          <w:i/>
          <w:iCs/>
        </w:rPr>
        <w:t xml:space="preserve"> </w:t>
      </w:r>
      <w:r w:rsidR="00926999">
        <w:t xml:space="preserve">of the </w:t>
      </w:r>
      <w:r w:rsidR="00EA09BB">
        <w:t>time.</w:t>
      </w:r>
    </w:p>
    <w:p w14:paraId="49DFCD01" w14:textId="5B17CC6A" w:rsidR="003B7400" w:rsidRDefault="003B7400" w:rsidP="00ED5874">
      <w:pPr>
        <w:pStyle w:val="ListParagraph"/>
        <w:numPr>
          <w:ilvl w:val="0"/>
          <w:numId w:val="5"/>
        </w:numPr>
        <w:spacing w:after="0" w:line="278" w:lineRule="auto"/>
      </w:pPr>
      <w:r>
        <w:t>A</w:t>
      </w:r>
      <w:r w:rsidR="00D86594">
        <w:t xml:space="preserve">re there any other </w:t>
      </w:r>
      <w:r w:rsidR="00C72CBF">
        <w:t xml:space="preserve">things my site needs to </w:t>
      </w:r>
      <w:r w:rsidR="009B0EC7">
        <w:t xml:space="preserve">have or </w:t>
      </w:r>
      <w:r w:rsidR="00C72CBF">
        <w:t>provide</w:t>
      </w:r>
      <w:r w:rsidR="0006446A">
        <w:t xml:space="preserve"> (e.g., public restrooms)</w:t>
      </w:r>
      <w:r w:rsidR="00C72CBF">
        <w:t>?</w:t>
      </w:r>
    </w:p>
    <w:p w14:paraId="40B3E905" w14:textId="750360CC" w:rsidR="0006446A" w:rsidRDefault="0006446A" w:rsidP="00ED5874">
      <w:pPr>
        <w:pStyle w:val="ListParagraph"/>
        <w:numPr>
          <w:ilvl w:val="1"/>
          <w:numId w:val="5"/>
        </w:numPr>
        <w:spacing w:after="0" w:line="278" w:lineRule="auto"/>
      </w:pPr>
      <w:r>
        <w:t xml:space="preserve">Potential charging sites must </w:t>
      </w:r>
      <w:r w:rsidR="006F19C0">
        <w:t xml:space="preserve">have </w:t>
      </w:r>
      <w:r w:rsidR="00B25985">
        <w:t>elements that ensure the safety of both the potential driver</w:t>
      </w:r>
      <w:r w:rsidR="00DB0CF0">
        <w:t xml:space="preserve"> as well as the charging infrastructure itself. This includes physical security elements</w:t>
      </w:r>
      <w:r w:rsidR="00B66574">
        <w:t xml:space="preserve"> </w:t>
      </w:r>
      <w:r w:rsidR="00AD0CB7">
        <w:t>(e.g.,</w:t>
      </w:r>
      <w:r w:rsidR="00B66574">
        <w:t xml:space="preserve"> video surveillance, sufficient </w:t>
      </w:r>
      <w:r w:rsidR="006D2964">
        <w:t xml:space="preserve">site </w:t>
      </w:r>
      <w:r w:rsidR="00B66574">
        <w:t>lighting,</w:t>
      </w:r>
      <w:r w:rsidR="00EC03E5">
        <w:t xml:space="preserve"> siting that ensures visibility from onlookers,</w:t>
      </w:r>
      <w:r w:rsidR="003F25F0">
        <w:t xml:space="preserve"> locks to provide equipment tampering, etc.</w:t>
      </w:r>
      <w:r w:rsidR="00AD0CB7">
        <w:t>)</w:t>
      </w:r>
      <w:r w:rsidR="003F25F0">
        <w:t xml:space="preserve"> </w:t>
      </w:r>
      <w:r w:rsidR="00AD0CB7">
        <w:t xml:space="preserve">as well as cybersecurity elements </w:t>
      </w:r>
      <w:r w:rsidR="00FD1E0D">
        <w:t xml:space="preserve">like </w:t>
      </w:r>
      <w:r w:rsidR="00985A7F">
        <w:t>third-party cybersecurity testing and certification</w:t>
      </w:r>
      <w:r w:rsidR="00FD1E0D">
        <w:t>.</w:t>
      </w:r>
    </w:p>
    <w:p w14:paraId="16D8BAA3" w14:textId="1961AC5C" w:rsidR="00EA09BB" w:rsidRDefault="00EA09BB" w:rsidP="00ED5874">
      <w:pPr>
        <w:pStyle w:val="ListParagraph"/>
        <w:numPr>
          <w:ilvl w:val="0"/>
          <w:numId w:val="5"/>
        </w:numPr>
        <w:spacing w:after="0" w:line="278" w:lineRule="auto"/>
      </w:pPr>
      <w:r>
        <w:t xml:space="preserve">Am I required to provide any </w:t>
      </w:r>
      <w:r w:rsidR="002B6E63">
        <w:t>data or information on the charging stations once they’re up and running?</w:t>
      </w:r>
    </w:p>
    <w:p w14:paraId="431B5C1C" w14:textId="67510AC1" w:rsidR="002B6E63" w:rsidRDefault="007D21E5" w:rsidP="00ED5874">
      <w:pPr>
        <w:pStyle w:val="ListParagraph"/>
        <w:numPr>
          <w:ilvl w:val="1"/>
          <w:numId w:val="5"/>
        </w:numPr>
        <w:spacing w:after="0" w:line="278" w:lineRule="auto"/>
      </w:pPr>
      <w:r>
        <w:t xml:space="preserve">Yes. Projects are required to </w:t>
      </w:r>
      <w:r w:rsidR="00184AAF">
        <w:t xml:space="preserve">submit charging data </w:t>
      </w:r>
      <w:r w:rsidR="00B14A04">
        <w:t>on a quarterly and annual basis for each charging station</w:t>
      </w:r>
      <w:r w:rsidR="005F337E">
        <w:t xml:space="preserve">. </w:t>
      </w:r>
      <w:r w:rsidR="00EB0615">
        <w:t>The following data is to be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CB6E38" w14:paraId="646BA3F4" w14:textId="77777777" w:rsidTr="00CB6E38">
        <w:tc>
          <w:tcPr>
            <w:tcW w:w="5125" w:type="dxa"/>
          </w:tcPr>
          <w:p w14:paraId="26627ED1" w14:textId="465E1A02" w:rsidR="00CB6E38" w:rsidRDefault="00CB6E38" w:rsidP="00CB6E38">
            <w:pPr>
              <w:spacing w:line="278" w:lineRule="auto"/>
            </w:pPr>
            <w:r>
              <w:t>Quarterly</w:t>
            </w:r>
          </w:p>
        </w:tc>
        <w:tc>
          <w:tcPr>
            <w:tcW w:w="4225" w:type="dxa"/>
          </w:tcPr>
          <w:p w14:paraId="2BA7EE3F" w14:textId="7955B675" w:rsidR="00CB6E38" w:rsidRDefault="00CB6E38" w:rsidP="00CB6E38">
            <w:pPr>
              <w:spacing w:line="278" w:lineRule="auto"/>
            </w:pPr>
            <w:r>
              <w:t>Annually</w:t>
            </w:r>
          </w:p>
        </w:tc>
      </w:tr>
      <w:tr w:rsidR="00CB6E38" w14:paraId="19AF0160" w14:textId="77777777" w:rsidTr="00CB6E38">
        <w:tc>
          <w:tcPr>
            <w:tcW w:w="5125" w:type="dxa"/>
          </w:tcPr>
          <w:p w14:paraId="107DA2E8" w14:textId="4156DA2F" w:rsidR="00CB6E38" w:rsidRDefault="00CB6E38" w:rsidP="00CB6E38">
            <w:pPr>
              <w:spacing w:line="278" w:lineRule="auto"/>
            </w:pPr>
            <w:r w:rsidRPr="00CB6E38">
              <w:t>Charging Station ID</w:t>
            </w:r>
          </w:p>
        </w:tc>
        <w:tc>
          <w:tcPr>
            <w:tcW w:w="4225" w:type="dxa"/>
          </w:tcPr>
          <w:p w14:paraId="3EDF5AE6" w14:textId="1AA3DADF" w:rsidR="00CB6E38" w:rsidRDefault="00CB6E38" w:rsidP="00CB6E38">
            <w:pPr>
              <w:spacing w:line="278" w:lineRule="auto"/>
            </w:pPr>
            <w:r w:rsidRPr="00CB6E38">
              <w:t>Maintenance &amp; Repair Cost per Station</w:t>
            </w:r>
          </w:p>
        </w:tc>
      </w:tr>
      <w:tr w:rsidR="00CB6E38" w14:paraId="4071BF19" w14:textId="77777777" w:rsidTr="00CB6E38">
        <w:tc>
          <w:tcPr>
            <w:tcW w:w="5125" w:type="dxa"/>
          </w:tcPr>
          <w:p w14:paraId="69D46EDA" w14:textId="09DCB226" w:rsidR="00CB6E38" w:rsidRDefault="00CB6E38" w:rsidP="00CB6E38">
            <w:pPr>
              <w:spacing w:line="278" w:lineRule="auto"/>
            </w:pPr>
            <w:r w:rsidRPr="00CB6E38">
              <w:t>Charging Port ID</w:t>
            </w:r>
          </w:p>
        </w:tc>
        <w:tc>
          <w:tcPr>
            <w:tcW w:w="4225" w:type="dxa"/>
            <w:vMerge w:val="restart"/>
          </w:tcPr>
          <w:p w14:paraId="15AD9D21" w14:textId="1C178B9D" w:rsidR="00CB6E38" w:rsidRDefault="00CB6E38" w:rsidP="00CB6E38">
            <w:pPr>
              <w:spacing w:line="278" w:lineRule="auto"/>
            </w:pPr>
            <w:r w:rsidRPr="00CB6E38">
              <w:t>For private entities, identification of &amp; participation in any state or local business opportunity certification programs (e.g., WBE, DBE, etc.)</w:t>
            </w:r>
          </w:p>
        </w:tc>
      </w:tr>
      <w:tr w:rsidR="00CB6E38" w14:paraId="24F528F1" w14:textId="77777777" w:rsidTr="00CB6E38">
        <w:tc>
          <w:tcPr>
            <w:tcW w:w="5125" w:type="dxa"/>
          </w:tcPr>
          <w:p w14:paraId="66BD0031" w14:textId="05AB2B1F" w:rsidR="00CB6E38" w:rsidRDefault="00CB6E38" w:rsidP="00CB6E38">
            <w:pPr>
              <w:spacing w:line="278" w:lineRule="auto"/>
            </w:pPr>
            <w:r w:rsidRPr="00CB6E38">
              <w:t>Charging Session Start &amp; End Time, Error Codes by Port</w:t>
            </w:r>
          </w:p>
        </w:tc>
        <w:tc>
          <w:tcPr>
            <w:tcW w:w="4225" w:type="dxa"/>
            <w:vMerge/>
          </w:tcPr>
          <w:p w14:paraId="7BBD3708" w14:textId="77777777" w:rsidR="00CB6E38" w:rsidRDefault="00CB6E38" w:rsidP="00CB6E38">
            <w:pPr>
              <w:spacing w:line="278" w:lineRule="auto"/>
            </w:pPr>
          </w:p>
        </w:tc>
      </w:tr>
      <w:tr w:rsidR="00CB6E38" w14:paraId="650C3816" w14:textId="77777777" w:rsidTr="00CB6E38">
        <w:tc>
          <w:tcPr>
            <w:tcW w:w="5125" w:type="dxa"/>
          </w:tcPr>
          <w:p w14:paraId="6C3062EA" w14:textId="4D0C5BF8" w:rsidR="00CB6E38" w:rsidRDefault="00CB6E38" w:rsidP="00CB6E38">
            <w:pPr>
              <w:spacing w:line="278" w:lineRule="auto"/>
            </w:pPr>
            <w:r w:rsidRPr="00CB6E38">
              <w:t>Energy (in kWh) dispensed, per charging station, per port</w:t>
            </w:r>
          </w:p>
        </w:tc>
        <w:tc>
          <w:tcPr>
            <w:tcW w:w="4225" w:type="dxa"/>
            <w:vMerge/>
          </w:tcPr>
          <w:p w14:paraId="174FA226" w14:textId="77777777" w:rsidR="00CB6E38" w:rsidRDefault="00CB6E38" w:rsidP="00CB6E38">
            <w:pPr>
              <w:spacing w:line="278" w:lineRule="auto"/>
            </w:pPr>
          </w:p>
        </w:tc>
      </w:tr>
      <w:tr w:rsidR="00CB6E38" w14:paraId="2C94A48B" w14:textId="77777777" w:rsidTr="00CB6E38">
        <w:tc>
          <w:tcPr>
            <w:tcW w:w="5125" w:type="dxa"/>
          </w:tcPr>
          <w:p w14:paraId="20D08B3F" w14:textId="68AE22B5" w:rsidR="00CB6E38" w:rsidRDefault="00CB6E38" w:rsidP="00CB6E38">
            <w:pPr>
              <w:spacing w:line="278" w:lineRule="auto"/>
            </w:pPr>
            <w:r w:rsidRPr="00CB6E38">
              <w:t>Peak session power in kW by port</w:t>
            </w:r>
          </w:p>
        </w:tc>
        <w:tc>
          <w:tcPr>
            <w:tcW w:w="4225" w:type="dxa"/>
            <w:vMerge/>
          </w:tcPr>
          <w:p w14:paraId="7B7AAEE6" w14:textId="77777777" w:rsidR="00CB6E38" w:rsidRDefault="00CB6E38" w:rsidP="00CB6E38">
            <w:pPr>
              <w:spacing w:line="278" w:lineRule="auto"/>
            </w:pPr>
          </w:p>
        </w:tc>
      </w:tr>
      <w:tr w:rsidR="00CB6E38" w14:paraId="160FA774" w14:textId="77777777" w:rsidTr="00CB6E38">
        <w:tc>
          <w:tcPr>
            <w:tcW w:w="5125" w:type="dxa"/>
          </w:tcPr>
          <w:p w14:paraId="5D792D0E" w14:textId="6D0441A3" w:rsidR="00CB6E38" w:rsidRDefault="00CB6E38" w:rsidP="00CB6E38">
            <w:pPr>
              <w:spacing w:line="278" w:lineRule="auto"/>
            </w:pPr>
            <w:r w:rsidRPr="00CB6E38">
              <w:t>Payment method for each session</w:t>
            </w:r>
          </w:p>
        </w:tc>
        <w:tc>
          <w:tcPr>
            <w:tcW w:w="4225" w:type="dxa"/>
            <w:vMerge/>
          </w:tcPr>
          <w:p w14:paraId="0CC253A5" w14:textId="77777777" w:rsidR="00CB6E38" w:rsidRDefault="00CB6E38" w:rsidP="00CB6E38">
            <w:pPr>
              <w:spacing w:line="278" w:lineRule="auto"/>
            </w:pPr>
          </w:p>
        </w:tc>
      </w:tr>
      <w:tr w:rsidR="00CB6E38" w14:paraId="0E574D45" w14:textId="77777777" w:rsidTr="00CB6E38">
        <w:tc>
          <w:tcPr>
            <w:tcW w:w="5125" w:type="dxa"/>
          </w:tcPr>
          <w:p w14:paraId="7197BDB1" w14:textId="13463CFF" w:rsidR="00CB6E38" w:rsidRDefault="00CB6E38" w:rsidP="00CB6E38">
            <w:pPr>
              <w:spacing w:line="278" w:lineRule="auto"/>
            </w:pPr>
            <w:r w:rsidRPr="00CB6E38">
              <w:t>Charging station port uptime for the quarter</w:t>
            </w:r>
          </w:p>
        </w:tc>
        <w:tc>
          <w:tcPr>
            <w:tcW w:w="4225" w:type="dxa"/>
            <w:vMerge/>
          </w:tcPr>
          <w:p w14:paraId="6555241D" w14:textId="77777777" w:rsidR="00CB6E38" w:rsidRDefault="00CB6E38" w:rsidP="00CB6E38">
            <w:pPr>
              <w:spacing w:line="278" w:lineRule="auto"/>
            </w:pPr>
          </w:p>
        </w:tc>
      </w:tr>
      <w:tr w:rsidR="00CB6E38" w14:paraId="68A423DD" w14:textId="77777777" w:rsidTr="00CB6E38">
        <w:tc>
          <w:tcPr>
            <w:tcW w:w="5125" w:type="dxa"/>
          </w:tcPr>
          <w:p w14:paraId="311BFD31" w14:textId="3623FB97" w:rsidR="00CB6E38" w:rsidRPr="00CB6E38" w:rsidRDefault="00CB6E38" w:rsidP="00CB6E38">
            <w:pPr>
              <w:spacing w:line="278" w:lineRule="auto"/>
            </w:pPr>
            <w:r w:rsidRPr="00CB6E38">
              <w:t>Duration (in minutes) of any outages</w:t>
            </w:r>
          </w:p>
        </w:tc>
        <w:tc>
          <w:tcPr>
            <w:tcW w:w="4225" w:type="dxa"/>
            <w:vMerge/>
          </w:tcPr>
          <w:p w14:paraId="19CD00CB" w14:textId="77777777" w:rsidR="00CB6E38" w:rsidRDefault="00CB6E38" w:rsidP="00CB6E38">
            <w:pPr>
              <w:spacing w:line="278" w:lineRule="auto"/>
            </w:pPr>
          </w:p>
        </w:tc>
      </w:tr>
      <w:tr w:rsidR="00CB6E38" w14:paraId="6D0356DD" w14:textId="77777777" w:rsidTr="00CB6E38">
        <w:tc>
          <w:tcPr>
            <w:tcW w:w="5125" w:type="dxa"/>
          </w:tcPr>
          <w:p w14:paraId="4E3CCC5C" w14:textId="2E257C99" w:rsidR="00CB6E38" w:rsidRPr="00CB6E38" w:rsidRDefault="00CB6E38" w:rsidP="00CB6E38">
            <w:pPr>
              <w:spacing w:line="278" w:lineRule="auto"/>
            </w:pPr>
            <w:r w:rsidRPr="00CB6E38">
              <w:t>Charging Session Zip Code</w:t>
            </w:r>
          </w:p>
        </w:tc>
        <w:tc>
          <w:tcPr>
            <w:tcW w:w="4225" w:type="dxa"/>
            <w:vMerge/>
          </w:tcPr>
          <w:p w14:paraId="0D78C3FC" w14:textId="77777777" w:rsidR="00CB6E38" w:rsidRDefault="00CB6E38" w:rsidP="00CB6E38">
            <w:pPr>
              <w:spacing w:line="278" w:lineRule="auto"/>
            </w:pPr>
          </w:p>
        </w:tc>
      </w:tr>
    </w:tbl>
    <w:p w14:paraId="74D34661" w14:textId="77777777" w:rsidR="00121146" w:rsidRDefault="00121146" w:rsidP="00121146">
      <w:pPr>
        <w:pStyle w:val="ListParagraph"/>
        <w:spacing w:after="0" w:line="278" w:lineRule="auto"/>
      </w:pPr>
    </w:p>
    <w:p w14:paraId="71881A4B" w14:textId="77777777" w:rsidR="00121146" w:rsidRDefault="00121146" w:rsidP="00121146">
      <w:pPr>
        <w:pStyle w:val="ListParagraph"/>
        <w:spacing w:after="0" w:line="278" w:lineRule="auto"/>
      </w:pPr>
    </w:p>
    <w:p w14:paraId="3AEEF7D9" w14:textId="2DDC3B14" w:rsidR="00985A7F" w:rsidRDefault="006A4F71" w:rsidP="00ED5874">
      <w:pPr>
        <w:pStyle w:val="ListParagraph"/>
        <w:numPr>
          <w:ilvl w:val="0"/>
          <w:numId w:val="5"/>
        </w:numPr>
        <w:spacing w:after="0" w:line="278" w:lineRule="auto"/>
      </w:pPr>
      <w:r>
        <w:t xml:space="preserve">How long am I required to meet </w:t>
      </w:r>
      <w:r w:rsidR="004F19F7">
        <w:t>these requirements?</w:t>
      </w:r>
    </w:p>
    <w:p w14:paraId="60CCFA3E" w14:textId="6C04DC35" w:rsidR="008610BF" w:rsidRDefault="004F19F7" w:rsidP="00ED5874">
      <w:pPr>
        <w:pStyle w:val="ListParagraph"/>
        <w:numPr>
          <w:ilvl w:val="1"/>
          <w:numId w:val="5"/>
        </w:numPr>
        <w:spacing w:after="0" w:line="278" w:lineRule="auto"/>
      </w:pPr>
      <w:r>
        <w:t xml:space="preserve">Charging stations must remain </w:t>
      </w:r>
      <w:r w:rsidR="007B2F20">
        <w:t xml:space="preserve">networked and </w:t>
      </w:r>
      <w:r>
        <w:t>operational for at least five years</w:t>
      </w:r>
      <w:r w:rsidR="00AF07E3">
        <w:t>.</w:t>
      </w:r>
    </w:p>
    <w:p w14:paraId="11E9B2CF" w14:textId="25CCF80D" w:rsidR="00C80B95" w:rsidRDefault="00C80B95" w:rsidP="00ED5874">
      <w:pPr>
        <w:pStyle w:val="ListParagraph"/>
        <w:numPr>
          <w:ilvl w:val="0"/>
          <w:numId w:val="5"/>
        </w:numPr>
        <w:spacing w:after="0" w:line="278" w:lineRule="auto"/>
      </w:pPr>
      <w:r>
        <w:t>What level of matching funds must I provide?</w:t>
      </w:r>
    </w:p>
    <w:p w14:paraId="257337CE" w14:textId="025D9AEE" w:rsidR="00C80B95" w:rsidRDefault="00C43DD0" w:rsidP="00ED5874">
      <w:pPr>
        <w:pStyle w:val="ListParagraph"/>
        <w:numPr>
          <w:ilvl w:val="1"/>
          <w:numId w:val="5"/>
        </w:numPr>
        <w:spacing w:after="0" w:line="278" w:lineRule="auto"/>
      </w:pPr>
      <w:r>
        <w:t>FAST Planning requires that a 9</w:t>
      </w:r>
      <w:r w:rsidR="00A12FBE">
        <w:t>.03</w:t>
      </w:r>
      <w:r>
        <w:t>% funding match of the total project cost be provided.</w:t>
      </w:r>
    </w:p>
    <w:p w14:paraId="1D9304D5" w14:textId="2CF01887" w:rsidR="0047140D" w:rsidRDefault="0047140D" w:rsidP="00ED5874">
      <w:pPr>
        <w:pStyle w:val="ListParagraph"/>
        <w:numPr>
          <w:ilvl w:val="0"/>
          <w:numId w:val="5"/>
        </w:numPr>
        <w:spacing w:after="0" w:line="278" w:lineRule="auto"/>
      </w:pPr>
      <w:r>
        <w:t xml:space="preserve">Where can I find out more about the </w:t>
      </w:r>
      <w:r w:rsidR="00C80B95">
        <w:t>requirements</w:t>
      </w:r>
      <w:r>
        <w:t>.</w:t>
      </w:r>
    </w:p>
    <w:p w14:paraId="534CE588" w14:textId="4C462867" w:rsidR="0047140D" w:rsidRDefault="0047140D" w:rsidP="00ED5874">
      <w:pPr>
        <w:pStyle w:val="ListParagraph"/>
        <w:numPr>
          <w:ilvl w:val="1"/>
          <w:numId w:val="5"/>
        </w:numPr>
        <w:spacing w:after="0" w:line="278" w:lineRule="auto"/>
      </w:pPr>
      <w:r>
        <w:t xml:space="preserve">The NEVI Standards and Requirements, which apply to all Title 23 projects like </w:t>
      </w:r>
      <w:r w:rsidR="00C80B95">
        <w:t xml:space="preserve">Carbon Reduction Program and Congestion Mitigation and Air Quality funds, can be found in </w:t>
      </w:r>
      <w:hyperlink r:id="rId11" w:history="1">
        <w:r w:rsidR="00C80B95" w:rsidRPr="00C80B95">
          <w:rPr>
            <w:rStyle w:val="Hyperlink"/>
          </w:rPr>
          <w:t xml:space="preserve">23 CFR Part </w:t>
        </w:r>
        <w:r w:rsidR="00C80B95">
          <w:rPr>
            <w:rStyle w:val="Hyperlink"/>
          </w:rPr>
          <w:t>6</w:t>
        </w:r>
        <w:r w:rsidR="00C80B95" w:rsidRPr="00C80B95">
          <w:rPr>
            <w:rStyle w:val="Hyperlink"/>
          </w:rPr>
          <w:t>80</w:t>
        </w:r>
      </w:hyperlink>
      <w:r w:rsidR="00C80B95">
        <w:t>.</w:t>
      </w:r>
    </w:p>
    <w:sectPr w:rsidR="0047140D" w:rsidSect="00287FC7">
      <w:headerReference w:type="default" r:id="rId12"/>
      <w:footerReference w:type="default" r:id="rId13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90DC" w14:textId="77777777" w:rsidR="004E1351" w:rsidRDefault="004E1351" w:rsidP="009F55B5">
      <w:pPr>
        <w:spacing w:after="0" w:line="240" w:lineRule="auto"/>
      </w:pPr>
      <w:r>
        <w:separator/>
      </w:r>
    </w:p>
  </w:endnote>
  <w:endnote w:type="continuationSeparator" w:id="0">
    <w:p w14:paraId="0C93CF89" w14:textId="77777777" w:rsidR="004E1351" w:rsidRDefault="004E1351" w:rsidP="009F55B5">
      <w:pPr>
        <w:spacing w:after="0" w:line="240" w:lineRule="auto"/>
      </w:pPr>
      <w:r>
        <w:continuationSeparator/>
      </w:r>
    </w:p>
  </w:endnote>
  <w:endnote w:type="continuationNotice" w:id="1">
    <w:p w14:paraId="53C5CFD6" w14:textId="77777777" w:rsidR="004E1351" w:rsidRDefault="004E1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5FF9" w14:textId="510A85FB" w:rsidR="0018166E" w:rsidRDefault="00B1584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5E6F84" wp14:editId="4BCE42CA">
          <wp:simplePos x="0" y="0"/>
          <wp:positionH relativeFrom="column">
            <wp:posOffset>5103628</wp:posOffset>
          </wp:positionH>
          <wp:positionV relativeFrom="paragraph">
            <wp:posOffset>-138223</wp:posOffset>
          </wp:positionV>
          <wp:extent cx="1128156" cy="40162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56" cy="401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EF7">
      <w:fldChar w:fldCharType="begin"/>
    </w:r>
    <w:r w:rsidR="004D0EF7">
      <w:instrText xml:space="preserve"> PAGE   \* MERGEFORMAT </w:instrText>
    </w:r>
    <w:r w:rsidR="004D0EF7">
      <w:fldChar w:fldCharType="separate"/>
    </w:r>
    <w:r w:rsidR="004D0EF7">
      <w:rPr>
        <w:noProof/>
      </w:rPr>
      <w:t>1</w:t>
    </w:r>
    <w:r w:rsidR="004D0EF7">
      <w:rPr>
        <w:noProof/>
      </w:rPr>
      <w:fldChar w:fldCharType="end"/>
    </w:r>
    <w:r w:rsidR="0018166E" w:rsidRPr="0018166E"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7FF3" w14:textId="77777777" w:rsidR="004E1351" w:rsidRDefault="004E1351" w:rsidP="009F55B5">
      <w:pPr>
        <w:spacing w:after="0" w:line="240" w:lineRule="auto"/>
      </w:pPr>
      <w:r>
        <w:separator/>
      </w:r>
    </w:p>
  </w:footnote>
  <w:footnote w:type="continuationSeparator" w:id="0">
    <w:p w14:paraId="1FED6164" w14:textId="77777777" w:rsidR="004E1351" w:rsidRDefault="004E1351" w:rsidP="009F55B5">
      <w:pPr>
        <w:spacing w:after="0" w:line="240" w:lineRule="auto"/>
      </w:pPr>
      <w:r>
        <w:continuationSeparator/>
      </w:r>
    </w:p>
  </w:footnote>
  <w:footnote w:type="continuationNotice" w:id="1">
    <w:p w14:paraId="45EC9610" w14:textId="77777777" w:rsidR="004E1351" w:rsidRDefault="004E1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F443" w14:textId="407DB166" w:rsidR="00067777" w:rsidRDefault="00067777" w:rsidP="00067777">
    <w:pPr>
      <w:pStyle w:val="Header"/>
    </w:pPr>
    <w:r>
      <w:t>FAST Planning</w:t>
    </w:r>
  </w:p>
  <w:p w14:paraId="3F4392AB" w14:textId="28A54FAC" w:rsidR="00067777" w:rsidRDefault="00067777" w:rsidP="00067777">
    <w:pPr>
      <w:pStyle w:val="Header"/>
      <w:pBdr>
        <w:bottom w:val="single" w:sz="4" w:space="1" w:color="auto"/>
      </w:pBdr>
    </w:pPr>
    <w:r>
      <w:t>EV Charging Station – Call for Projects</w:t>
    </w:r>
    <w:r w:rsidR="007C690F">
      <w:t xml:space="preserve"> FAQ</w:t>
    </w:r>
  </w:p>
  <w:p w14:paraId="6A3EEB45" w14:textId="77777777" w:rsidR="004D0EF7" w:rsidRDefault="004D0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F162"/>
    <w:multiLevelType w:val="hybridMultilevel"/>
    <w:tmpl w:val="2370DF32"/>
    <w:lvl w:ilvl="0" w:tplc="38B867F2">
      <w:start w:val="1"/>
      <w:numFmt w:val="decimal"/>
      <w:lvlText w:val="%1."/>
      <w:lvlJc w:val="left"/>
      <w:pPr>
        <w:ind w:left="720" w:hanging="360"/>
      </w:pPr>
    </w:lvl>
    <w:lvl w:ilvl="1" w:tplc="29F87C24">
      <w:start w:val="1"/>
      <w:numFmt w:val="lowerLetter"/>
      <w:lvlText w:val="%2."/>
      <w:lvlJc w:val="left"/>
      <w:pPr>
        <w:ind w:left="1440" w:hanging="360"/>
      </w:pPr>
    </w:lvl>
    <w:lvl w:ilvl="2" w:tplc="E9B2F656">
      <w:start w:val="1"/>
      <w:numFmt w:val="lowerRoman"/>
      <w:lvlText w:val="%3."/>
      <w:lvlJc w:val="right"/>
      <w:pPr>
        <w:ind w:left="2160" w:hanging="180"/>
      </w:pPr>
    </w:lvl>
    <w:lvl w:ilvl="3" w:tplc="074AF3DA">
      <w:start w:val="1"/>
      <w:numFmt w:val="decimal"/>
      <w:lvlText w:val="%4."/>
      <w:lvlJc w:val="left"/>
      <w:pPr>
        <w:ind w:left="2880" w:hanging="360"/>
      </w:pPr>
    </w:lvl>
    <w:lvl w:ilvl="4" w:tplc="76BC9E38">
      <w:start w:val="1"/>
      <w:numFmt w:val="lowerLetter"/>
      <w:lvlText w:val="%5."/>
      <w:lvlJc w:val="left"/>
      <w:pPr>
        <w:ind w:left="3600" w:hanging="360"/>
      </w:pPr>
    </w:lvl>
    <w:lvl w:ilvl="5" w:tplc="5782803A">
      <w:start w:val="1"/>
      <w:numFmt w:val="lowerRoman"/>
      <w:lvlText w:val="%6."/>
      <w:lvlJc w:val="right"/>
      <w:pPr>
        <w:ind w:left="4320" w:hanging="180"/>
      </w:pPr>
    </w:lvl>
    <w:lvl w:ilvl="6" w:tplc="B9E88C92">
      <w:start w:val="1"/>
      <w:numFmt w:val="decimal"/>
      <w:lvlText w:val="%7."/>
      <w:lvlJc w:val="left"/>
      <w:pPr>
        <w:ind w:left="5040" w:hanging="360"/>
      </w:pPr>
    </w:lvl>
    <w:lvl w:ilvl="7" w:tplc="479CB198">
      <w:start w:val="1"/>
      <w:numFmt w:val="lowerLetter"/>
      <w:lvlText w:val="%8."/>
      <w:lvlJc w:val="left"/>
      <w:pPr>
        <w:ind w:left="5760" w:hanging="360"/>
      </w:pPr>
    </w:lvl>
    <w:lvl w:ilvl="8" w:tplc="959045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882C"/>
    <w:multiLevelType w:val="hybridMultilevel"/>
    <w:tmpl w:val="7A3A7EDA"/>
    <w:lvl w:ilvl="0" w:tplc="FECEC3CE">
      <w:start w:val="1"/>
      <w:numFmt w:val="decimal"/>
      <w:lvlText w:val="%1."/>
      <w:lvlJc w:val="left"/>
      <w:pPr>
        <w:ind w:left="720" w:hanging="360"/>
      </w:pPr>
    </w:lvl>
    <w:lvl w:ilvl="1" w:tplc="55D2CE66">
      <w:start w:val="1"/>
      <w:numFmt w:val="lowerLetter"/>
      <w:lvlText w:val="%2."/>
      <w:lvlJc w:val="left"/>
      <w:pPr>
        <w:ind w:left="1440" w:hanging="360"/>
      </w:pPr>
    </w:lvl>
    <w:lvl w:ilvl="2" w:tplc="B76AFD1A">
      <w:start w:val="1"/>
      <w:numFmt w:val="lowerRoman"/>
      <w:lvlText w:val="%3."/>
      <w:lvlJc w:val="right"/>
      <w:pPr>
        <w:ind w:left="2160" w:hanging="180"/>
      </w:pPr>
    </w:lvl>
    <w:lvl w:ilvl="3" w:tplc="82DEDD84">
      <w:start w:val="1"/>
      <w:numFmt w:val="decimal"/>
      <w:lvlText w:val="%4."/>
      <w:lvlJc w:val="left"/>
      <w:pPr>
        <w:ind w:left="2880" w:hanging="360"/>
      </w:pPr>
    </w:lvl>
    <w:lvl w:ilvl="4" w:tplc="99BC44D4">
      <w:start w:val="1"/>
      <w:numFmt w:val="lowerLetter"/>
      <w:lvlText w:val="%5."/>
      <w:lvlJc w:val="left"/>
      <w:pPr>
        <w:ind w:left="3600" w:hanging="360"/>
      </w:pPr>
    </w:lvl>
    <w:lvl w:ilvl="5" w:tplc="EB9208EC">
      <w:start w:val="1"/>
      <w:numFmt w:val="lowerRoman"/>
      <w:lvlText w:val="%6."/>
      <w:lvlJc w:val="right"/>
      <w:pPr>
        <w:ind w:left="4320" w:hanging="180"/>
      </w:pPr>
    </w:lvl>
    <w:lvl w:ilvl="6" w:tplc="89F628AA">
      <w:start w:val="1"/>
      <w:numFmt w:val="decimal"/>
      <w:lvlText w:val="%7."/>
      <w:lvlJc w:val="left"/>
      <w:pPr>
        <w:ind w:left="5040" w:hanging="360"/>
      </w:pPr>
    </w:lvl>
    <w:lvl w:ilvl="7" w:tplc="5B16F8EA">
      <w:start w:val="1"/>
      <w:numFmt w:val="lowerLetter"/>
      <w:lvlText w:val="%8."/>
      <w:lvlJc w:val="left"/>
      <w:pPr>
        <w:ind w:left="5760" w:hanging="360"/>
      </w:pPr>
    </w:lvl>
    <w:lvl w:ilvl="8" w:tplc="E676E1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344B9"/>
    <w:multiLevelType w:val="hybridMultilevel"/>
    <w:tmpl w:val="2370D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09EDF"/>
    <w:multiLevelType w:val="hybridMultilevel"/>
    <w:tmpl w:val="D5744512"/>
    <w:lvl w:ilvl="0" w:tplc="202A59CC">
      <w:start w:val="1"/>
      <w:numFmt w:val="decimal"/>
      <w:lvlText w:val="%1."/>
      <w:lvlJc w:val="left"/>
      <w:pPr>
        <w:ind w:left="720" w:hanging="360"/>
      </w:pPr>
    </w:lvl>
    <w:lvl w:ilvl="1" w:tplc="4A1CAB22">
      <w:start w:val="1"/>
      <w:numFmt w:val="lowerLetter"/>
      <w:lvlText w:val="%2."/>
      <w:lvlJc w:val="left"/>
      <w:pPr>
        <w:ind w:left="1440" w:hanging="360"/>
      </w:pPr>
    </w:lvl>
    <w:lvl w:ilvl="2" w:tplc="BB3A20D8">
      <w:start w:val="1"/>
      <w:numFmt w:val="lowerRoman"/>
      <w:lvlText w:val="%3."/>
      <w:lvlJc w:val="right"/>
      <w:pPr>
        <w:ind w:left="2160" w:hanging="180"/>
      </w:pPr>
    </w:lvl>
    <w:lvl w:ilvl="3" w:tplc="49A48E02">
      <w:start w:val="1"/>
      <w:numFmt w:val="decimal"/>
      <w:lvlText w:val="%4."/>
      <w:lvlJc w:val="left"/>
      <w:pPr>
        <w:ind w:left="2880" w:hanging="360"/>
      </w:pPr>
    </w:lvl>
    <w:lvl w:ilvl="4" w:tplc="9006E060">
      <w:start w:val="1"/>
      <w:numFmt w:val="lowerLetter"/>
      <w:lvlText w:val="%5."/>
      <w:lvlJc w:val="left"/>
      <w:pPr>
        <w:ind w:left="3600" w:hanging="360"/>
      </w:pPr>
    </w:lvl>
    <w:lvl w:ilvl="5" w:tplc="74ECF3FE">
      <w:start w:val="1"/>
      <w:numFmt w:val="lowerRoman"/>
      <w:lvlText w:val="%6."/>
      <w:lvlJc w:val="right"/>
      <w:pPr>
        <w:ind w:left="4320" w:hanging="180"/>
      </w:pPr>
    </w:lvl>
    <w:lvl w:ilvl="6" w:tplc="EAE030B4">
      <w:start w:val="1"/>
      <w:numFmt w:val="decimal"/>
      <w:lvlText w:val="%7."/>
      <w:lvlJc w:val="left"/>
      <w:pPr>
        <w:ind w:left="5040" w:hanging="360"/>
      </w:pPr>
    </w:lvl>
    <w:lvl w:ilvl="7" w:tplc="AF2A6F38">
      <w:start w:val="1"/>
      <w:numFmt w:val="lowerLetter"/>
      <w:lvlText w:val="%8."/>
      <w:lvlJc w:val="left"/>
      <w:pPr>
        <w:ind w:left="5760" w:hanging="360"/>
      </w:pPr>
    </w:lvl>
    <w:lvl w:ilvl="8" w:tplc="4B36CA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2C05E"/>
    <w:multiLevelType w:val="hybridMultilevel"/>
    <w:tmpl w:val="DAA80B6A"/>
    <w:lvl w:ilvl="0" w:tplc="220EE740">
      <w:start w:val="1"/>
      <w:numFmt w:val="decimal"/>
      <w:lvlText w:val="%1."/>
      <w:lvlJc w:val="left"/>
      <w:pPr>
        <w:ind w:left="720" w:hanging="360"/>
      </w:pPr>
    </w:lvl>
    <w:lvl w:ilvl="1" w:tplc="09BE222A">
      <w:start w:val="1"/>
      <w:numFmt w:val="lowerLetter"/>
      <w:lvlText w:val="%2."/>
      <w:lvlJc w:val="left"/>
      <w:pPr>
        <w:ind w:left="1440" w:hanging="360"/>
      </w:pPr>
    </w:lvl>
    <w:lvl w:ilvl="2" w:tplc="FAAC3788">
      <w:start w:val="1"/>
      <w:numFmt w:val="lowerRoman"/>
      <w:lvlText w:val="%3."/>
      <w:lvlJc w:val="right"/>
      <w:pPr>
        <w:ind w:left="2160" w:hanging="180"/>
      </w:pPr>
    </w:lvl>
    <w:lvl w:ilvl="3" w:tplc="D2C6954E">
      <w:start w:val="1"/>
      <w:numFmt w:val="decimal"/>
      <w:lvlText w:val="%4."/>
      <w:lvlJc w:val="left"/>
      <w:pPr>
        <w:ind w:left="2880" w:hanging="360"/>
      </w:pPr>
    </w:lvl>
    <w:lvl w:ilvl="4" w:tplc="640A72AA">
      <w:start w:val="1"/>
      <w:numFmt w:val="lowerLetter"/>
      <w:lvlText w:val="%5."/>
      <w:lvlJc w:val="left"/>
      <w:pPr>
        <w:ind w:left="3600" w:hanging="360"/>
      </w:pPr>
    </w:lvl>
    <w:lvl w:ilvl="5" w:tplc="55B0B452">
      <w:start w:val="1"/>
      <w:numFmt w:val="lowerRoman"/>
      <w:lvlText w:val="%6."/>
      <w:lvlJc w:val="right"/>
      <w:pPr>
        <w:ind w:left="4320" w:hanging="180"/>
      </w:pPr>
    </w:lvl>
    <w:lvl w:ilvl="6" w:tplc="355EE920">
      <w:start w:val="1"/>
      <w:numFmt w:val="decimal"/>
      <w:lvlText w:val="%7."/>
      <w:lvlJc w:val="left"/>
      <w:pPr>
        <w:ind w:left="5040" w:hanging="360"/>
      </w:pPr>
    </w:lvl>
    <w:lvl w:ilvl="7" w:tplc="116EFC68">
      <w:start w:val="1"/>
      <w:numFmt w:val="lowerLetter"/>
      <w:lvlText w:val="%8."/>
      <w:lvlJc w:val="left"/>
      <w:pPr>
        <w:ind w:left="5760" w:hanging="360"/>
      </w:pPr>
    </w:lvl>
    <w:lvl w:ilvl="8" w:tplc="BC4C339E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2390">
    <w:abstractNumId w:val="3"/>
  </w:num>
  <w:num w:numId="2" w16cid:durableId="378433533">
    <w:abstractNumId w:val="1"/>
  </w:num>
  <w:num w:numId="3" w16cid:durableId="890656437">
    <w:abstractNumId w:val="0"/>
  </w:num>
  <w:num w:numId="4" w16cid:durableId="1252272717">
    <w:abstractNumId w:val="4"/>
  </w:num>
  <w:num w:numId="5" w16cid:durableId="98366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94828F"/>
    <w:rsid w:val="00014901"/>
    <w:rsid w:val="000639B8"/>
    <w:rsid w:val="0006446A"/>
    <w:rsid w:val="00067777"/>
    <w:rsid w:val="00071DC5"/>
    <w:rsid w:val="00074DA3"/>
    <w:rsid w:val="00086E98"/>
    <w:rsid w:val="00097CB2"/>
    <w:rsid w:val="000E4075"/>
    <w:rsid w:val="000F0252"/>
    <w:rsid w:val="00121146"/>
    <w:rsid w:val="00157A96"/>
    <w:rsid w:val="0018166E"/>
    <w:rsid w:val="00184AAF"/>
    <w:rsid w:val="00185508"/>
    <w:rsid w:val="00195747"/>
    <w:rsid w:val="001A2810"/>
    <w:rsid w:val="001A4769"/>
    <w:rsid w:val="001B6FE9"/>
    <w:rsid w:val="00215206"/>
    <w:rsid w:val="00241EFD"/>
    <w:rsid w:val="002440CC"/>
    <w:rsid w:val="00247C6E"/>
    <w:rsid w:val="0027061B"/>
    <w:rsid w:val="00287FC7"/>
    <w:rsid w:val="002B6E63"/>
    <w:rsid w:val="002C1995"/>
    <w:rsid w:val="003329F5"/>
    <w:rsid w:val="00333C97"/>
    <w:rsid w:val="00347874"/>
    <w:rsid w:val="00376179"/>
    <w:rsid w:val="00392C49"/>
    <w:rsid w:val="003B7400"/>
    <w:rsid w:val="003C15B8"/>
    <w:rsid w:val="003D6040"/>
    <w:rsid w:val="003F1DBA"/>
    <w:rsid w:val="003F25F0"/>
    <w:rsid w:val="003F302A"/>
    <w:rsid w:val="00453566"/>
    <w:rsid w:val="0047140D"/>
    <w:rsid w:val="00485905"/>
    <w:rsid w:val="00490278"/>
    <w:rsid w:val="004A0A53"/>
    <w:rsid w:val="004B74EC"/>
    <w:rsid w:val="004C0EAC"/>
    <w:rsid w:val="004D0EF7"/>
    <w:rsid w:val="004D4CE5"/>
    <w:rsid w:val="004D6F37"/>
    <w:rsid w:val="004E029F"/>
    <w:rsid w:val="004E1351"/>
    <w:rsid w:val="004F19F7"/>
    <w:rsid w:val="004F3915"/>
    <w:rsid w:val="004F5032"/>
    <w:rsid w:val="004F6382"/>
    <w:rsid w:val="004F66FC"/>
    <w:rsid w:val="00521B50"/>
    <w:rsid w:val="00523047"/>
    <w:rsid w:val="00523296"/>
    <w:rsid w:val="00553B9A"/>
    <w:rsid w:val="005630BA"/>
    <w:rsid w:val="00567AAF"/>
    <w:rsid w:val="005908B8"/>
    <w:rsid w:val="005B32E2"/>
    <w:rsid w:val="005E5CF1"/>
    <w:rsid w:val="005F337E"/>
    <w:rsid w:val="00605CE8"/>
    <w:rsid w:val="006218D8"/>
    <w:rsid w:val="00635F27"/>
    <w:rsid w:val="00644C40"/>
    <w:rsid w:val="006542FF"/>
    <w:rsid w:val="006948E4"/>
    <w:rsid w:val="006A1A27"/>
    <w:rsid w:val="006A4F71"/>
    <w:rsid w:val="006A7CDA"/>
    <w:rsid w:val="006C7C32"/>
    <w:rsid w:val="006D2964"/>
    <w:rsid w:val="006F19C0"/>
    <w:rsid w:val="007060E1"/>
    <w:rsid w:val="0073174F"/>
    <w:rsid w:val="00763E6D"/>
    <w:rsid w:val="00766652"/>
    <w:rsid w:val="00770349"/>
    <w:rsid w:val="007A2A72"/>
    <w:rsid w:val="007A4DAB"/>
    <w:rsid w:val="007B2F20"/>
    <w:rsid w:val="007C690F"/>
    <w:rsid w:val="007D21E5"/>
    <w:rsid w:val="007D7533"/>
    <w:rsid w:val="00804B62"/>
    <w:rsid w:val="0081282E"/>
    <w:rsid w:val="0082018C"/>
    <w:rsid w:val="008530F7"/>
    <w:rsid w:val="00853D06"/>
    <w:rsid w:val="008610BF"/>
    <w:rsid w:val="00870947"/>
    <w:rsid w:val="00871C5C"/>
    <w:rsid w:val="00875CD7"/>
    <w:rsid w:val="00886042"/>
    <w:rsid w:val="008B359A"/>
    <w:rsid w:val="008C168F"/>
    <w:rsid w:val="008E544C"/>
    <w:rsid w:val="008F696C"/>
    <w:rsid w:val="00914585"/>
    <w:rsid w:val="00926999"/>
    <w:rsid w:val="009767E6"/>
    <w:rsid w:val="00981140"/>
    <w:rsid w:val="00985A7F"/>
    <w:rsid w:val="00992C9B"/>
    <w:rsid w:val="009B0EC7"/>
    <w:rsid w:val="009B2928"/>
    <w:rsid w:val="009B42FE"/>
    <w:rsid w:val="009C1511"/>
    <w:rsid w:val="009D2D06"/>
    <w:rsid w:val="009E054A"/>
    <w:rsid w:val="009F55B5"/>
    <w:rsid w:val="00A12FBE"/>
    <w:rsid w:val="00A75005"/>
    <w:rsid w:val="00AA53ED"/>
    <w:rsid w:val="00AB0969"/>
    <w:rsid w:val="00AC7450"/>
    <w:rsid w:val="00AD0CB7"/>
    <w:rsid w:val="00AD69F5"/>
    <w:rsid w:val="00AF07E3"/>
    <w:rsid w:val="00B01EF9"/>
    <w:rsid w:val="00B04C6A"/>
    <w:rsid w:val="00B14A04"/>
    <w:rsid w:val="00B15842"/>
    <w:rsid w:val="00B17759"/>
    <w:rsid w:val="00B25985"/>
    <w:rsid w:val="00B66574"/>
    <w:rsid w:val="00B96178"/>
    <w:rsid w:val="00BD7600"/>
    <w:rsid w:val="00BE1F75"/>
    <w:rsid w:val="00BE48B9"/>
    <w:rsid w:val="00BF0A8D"/>
    <w:rsid w:val="00C01D33"/>
    <w:rsid w:val="00C07EAB"/>
    <w:rsid w:val="00C43DD0"/>
    <w:rsid w:val="00C45227"/>
    <w:rsid w:val="00C50671"/>
    <w:rsid w:val="00C72CBF"/>
    <w:rsid w:val="00C732B9"/>
    <w:rsid w:val="00C80B95"/>
    <w:rsid w:val="00CB0C86"/>
    <w:rsid w:val="00CB6E38"/>
    <w:rsid w:val="00CD45B2"/>
    <w:rsid w:val="00CE29E7"/>
    <w:rsid w:val="00CF7F96"/>
    <w:rsid w:val="00D01B14"/>
    <w:rsid w:val="00D071D3"/>
    <w:rsid w:val="00D26324"/>
    <w:rsid w:val="00D323C5"/>
    <w:rsid w:val="00D43432"/>
    <w:rsid w:val="00D454B2"/>
    <w:rsid w:val="00D607CE"/>
    <w:rsid w:val="00D76667"/>
    <w:rsid w:val="00D86594"/>
    <w:rsid w:val="00D91A79"/>
    <w:rsid w:val="00DB0CF0"/>
    <w:rsid w:val="00DD66BC"/>
    <w:rsid w:val="00DE47C7"/>
    <w:rsid w:val="00E0243A"/>
    <w:rsid w:val="00E06788"/>
    <w:rsid w:val="00E63ADF"/>
    <w:rsid w:val="00E72851"/>
    <w:rsid w:val="00E73CE4"/>
    <w:rsid w:val="00E90304"/>
    <w:rsid w:val="00EA09BB"/>
    <w:rsid w:val="00EB0615"/>
    <w:rsid w:val="00EB334A"/>
    <w:rsid w:val="00EC03E5"/>
    <w:rsid w:val="00ED5874"/>
    <w:rsid w:val="00EE4F86"/>
    <w:rsid w:val="00EE5E1E"/>
    <w:rsid w:val="00F25132"/>
    <w:rsid w:val="00F26316"/>
    <w:rsid w:val="00F8630A"/>
    <w:rsid w:val="00FC0342"/>
    <w:rsid w:val="00FD1E0D"/>
    <w:rsid w:val="00FD4F5E"/>
    <w:rsid w:val="00FE47F7"/>
    <w:rsid w:val="032AD5D4"/>
    <w:rsid w:val="049C4345"/>
    <w:rsid w:val="085D775C"/>
    <w:rsid w:val="0C5DAB7A"/>
    <w:rsid w:val="0F6BA56F"/>
    <w:rsid w:val="16207231"/>
    <w:rsid w:val="18D4D21C"/>
    <w:rsid w:val="1C38199D"/>
    <w:rsid w:val="1F94828F"/>
    <w:rsid w:val="1FACCA33"/>
    <w:rsid w:val="2000D215"/>
    <w:rsid w:val="21623F41"/>
    <w:rsid w:val="23E6976A"/>
    <w:rsid w:val="24DC095E"/>
    <w:rsid w:val="27E0EA8D"/>
    <w:rsid w:val="2947B76E"/>
    <w:rsid w:val="34AF0F51"/>
    <w:rsid w:val="3BF419CB"/>
    <w:rsid w:val="4184FFDD"/>
    <w:rsid w:val="42043DF9"/>
    <w:rsid w:val="4677DB7A"/>
    <w:rsid w:val="472FD254"/>
    <w:rsid w:val="48E321C3"/>
    <w:rsid w:val="48E9F360"/>
    <w:rsid w:val="4A17EBC7"/>
    <w:rsid w:val="4A6DD01E"/>
    <w:rsid w:val="4A7D9CE9"/>
    <w:rsid w:val="4B961A37"/>
    <w:rsid w:val="4F8AF277"/>
    <w:rsid w:val="50B447E7"/>
    <w:rsid w:val="51B6D6FC"/>
    <w:rsid w:val="53133DFA"/>
    <w:rsid w:val="55DB5EF2"/>
    <w:rsid w:val="567C64AE"/>
    <w:rsid w:val="5B004F56"/>
    <w:rsid w:val="5CCF0892"/>
    <w:rsid w:val="5DA72A93"/>
    <w:rsid w:val="5EAD9B0E"/>
    <w:rsid w:val="62F52F01"/>
    <w:rsid w:val="649E86CF"/>
    <w:rsid w:val="653A32E4"/>
    <w:rsid w:val="68C1BF33"/>
    <w:rsid w:val="6C84C6CA"/>
    <w:rsid w:val="6E2118CE"/>
    <w:rsid w:val="6F44D230"/>
    <w:rsid w:val="76DA67B6"/>
    <w:rsid w:val="7D2CB364"/>
    <w:rsid w:val="7D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1D547"/>
  <w15:chartTrackingRefBased/>
  <w15:docId w15:val="{5885CDAB-82B6-4564-A756-7EDCA017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D2CB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B5"/>
  </w:style>
  <w:style w:type="paragraph" w:styleId="Footer">
    <w:name w:val="footer"/>
    <w:basedOn w:val="Normal"/>
    <w:link w:val="FooterChar"/>
    <w:uiPriority w:val="99"/>
    <w:unhideWhenUsed/>
    <w:rsid w:val="009F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B5"/>
  </w:style>
  <w:style w:type="table" w:styleId="TableGrid">
    <w:name w:val="Table Grid"/>
    <w:basedOn w:val="TableNormal"/>
    <w:uiPriority w:val="39"/>
    <w:rsid w:val="00CB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8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deralregister.gov/documents/2023/02/28/2023-03500/national-electric-vehicle-infrastructure-standards-and-require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ederalregister.gov/documents/2023/02/21/2023-03498/waiver-of-buy-america-requirements-for-electric-vehicle-charg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B66C2AA23A44784C014404237CC1B" ma:contentTypeVersion="15" ma:contentTypeDescription="Create a new document." ma:contentTypeScope="" ma:versionID="4760d3a58e4964c896d70f5660c7f7d7">
  <xsd:schema xmlns:xsd="http://www.w3.org/2001/XMLSchema" xmlns:xs="http://www.w3.org/2001/XMLSchema" xmlns:p="http://schemas.microsoft.com/office/2006/metadata/properties" xmlns:ns2="05a610e1-4309-45d6-b60d-b6ec015d44d4" xmlns:ns3="821afee1-c5b0-48d8-8acd-5820d6d5d48d" targetNamespace="http://schemas.microsoft.com/office/2006/metadata/properties" ma:root="true" ma:fieldsID="f4d86a37c67c4a954f387f7f571bcf3d" ns2:_="" ns3:_="">
    <xsd:import namespace="05a610e1-4309-45d6-b60d-b6ec015d44d4"/>
    <xsd:import namespace="821afee1-c5b0-48d8-8acd-5820d6d5d4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10e1-4309-45d6-b60d-b6ec015d44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0043d9-6c40-4731-92f9-08f9bc5ea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fee1-c5b0-48d8-8acd-5820d6d5d48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1819ea-4a97-414c-b836-8bd992e4d153}" ma:internalName="TaxCatchAll" ma:showField="CatchAllData" ma:web="821afee1-c5b0-48d8-8acd-5820d6d5d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610e1-4309-45d6-b60d-b6ec015d44d4">
      <Terms xmlns="http://schemas.microsoft.com/office/infopath/2007/PartnerControls"/>
    </lcf76f155ced4ddcb4097134ff3c332f>
    <TaxCatchAll xmlns="821afee1-c5b0-48d8-8acd-5820d6d5d48d" xsi:nil="true"/>
    <SharedWithUsers xmlns="821afee1-c5b0-48d8-8acd-5820d6d5d48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45F12-EF29-4D0D-B12A-DE228365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610e1-4309-45d6-b60d-b6ec015d44d4"/>
    <ds:schemaRef ds:uri="821afee1-c5b0-48d8-8acd-5820d6d5d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6AB62-1B70-49F1-A9EA-7D4238A0BEF7}">
  <ds:schemaRefs>
    <ds:schemaRef ds:uri="http://schemas.microsoft.com/office/2006/metadata/properties"/>
    <ds:schemaRef ds:uri="http://schemas.microsoft.com/office/infopath/2007/PartnerControls"/>
    <ds:schemaRef ds:uri="05a610e1-4309-45d6-b60d-b6ec015d44d4"/>
    <ds:schemaRef ds:uri="821afee1-c5b0-48d8-8acd-5820d6d5d48d"/>
  </ds:schemaRefs>
</ds:datastoreItem>
</file>

<file path=customXml/itemProps3.xml><?xml version="1.0" encoding="utf-8"?>
<ds:datastoreItem xmlns:ds="http://schemas.openxmlformats.org/officeDocument/2006/customXml" ds:itemID="{C22641B5-F90C-47A7-8740-336952A95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Links>
    <vt:vector size="12" baseType="variant"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https://www.federalregister.gov/documents/2023/02/28/2023-03500/national-electric-vehicle-infrastructure-standards-and-requirements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https://www.federalregister.gov/documents/2023/02/21/2023-03498/waiver-of-buy-america-requirements-for-electric-vehicle-chargers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DaSilva, Gabrielle</dc:creator>
  <cp:keywords/>
  <dc:description/>
  <cp:lastModifiedBy>Jackson Fox</cp:lastModifiedBy>
  <cp:revision>173</cp:revision>
  <cp:lastPrinted>2025-01-04T02:05:00Z</cp:lastPrinted>
  <dcterms:created xsi:type="dcterms:W3CDTF">2024-12-13T20:12:00Z</dcterms:created>
  <dcterms:modified xsi:type="dcterms:W3CDTF">2025-08-29T21:50:00Z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0x010100814B66C2AA23A44784C014404237CC1B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